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90" w:rsidRDefault="008E16C4" w:rsidP="008E16C4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E16C4">
        <w:rPr>
          <w:rFonts w:ascii="Times New Roman" w:hAnsi="Times New Roman" w:cs="Times New Roman"/>
          <w:b/>
          <w:spacing w:val="20"/>
          <w:sz w:val="28"/>
          <w:szCs w:val="28"/>
        </w:rPr>
        <w:t>УРОКИ, ИЗВЛЕЧ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Ё</w:t>
      </w:r>
      <w:r w:rsidRPr="008E16C4">
        <w:rPr>
          <w:rFonts w:ascii="Times New Roman" w:hAnsi="Times New Roman" w:cs="Times New Roman"/>
          <w:b/>
          <w:spacing w:val="20"/>
          <w:sz w:val="28"/>
          <w:szCs w:val="28"/>
        </w:rPr>
        <w:t>ННЫЕ ИЗ НЕСЧАСТНОГО СЛУЧАЯ</w:t>
      </w:r>
    </w:p>
    <w:p w:rsidR="008E16C4" w:rsidRPr="008E16C4" w:rsidRDefault="008E16C4" w:rsidP="002925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tbl>
      <w:tblPr>
        <w:tblStyle w:val="a4"/>
        <w:tblW w:w="10889" w:type="dxa"/>
        <w:jc w:val="center"/>
        <w:tblLook w:val="04A0" w:firstRow="1" w:lastRow="0" w:firstColumn="1" w:lastColumn="0" w:noHBand="0" w:noVBand="1"/>
      </w:tblPr>
      <w:tblGrid>
        <w:gridCol w:w="2235"/>
        <w:gridCol w:w="4139"/>
        <w:gridCol w:w="4515"/>
      </w:tblGrid>
      <w:tr w:rsidR="008E16C4" w:rsidRPr="008E16C4" w:rsidTr="00DF18E3">
        <w:trPr>
          <w:trHeight w:val="221"/>
          <w:jc w:val="center"/>
        </w:trPr>
        <w:tc>
          <w:tcPr>
            <w:tcW w:w="2235" w:type="dxa"/>
          </w:tcPr>
          <w:p w:rsidR="008E16C4" w:rsidRPr="008E16C4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8E16C4">
              <w:rPr>
                <w:rFonts w:ascii="Times New Roman" w:hAnsi="Times New Roman" w:cs="Times New Roman"/>
                <w:b/>
                <w:szCs w:val="24"/>
              </w:rPr>
              <w:t>Дата происшествия</w:t>
            </w:r>
          </w:p>
        </w:tc>
        <w:tc>
          <w:tcPr>
            <w:tcW w:w="4139" w:type="dxa"/>
            <w:vAlign w:val="center"/>
          </w:tcPr>
          <w:p w:rsidR="008E16C4" w:rsidRPr="000A6B50" w:rsidRDefault="000A6B50" w:rsidP="000A6B5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B50">
              <w:rPr>
                <w:rFonts w:ascii="Times New Roman" w:hAnsi="Times New Roman" w:cs="Times New Roman"/>
                <w:szCs w:val="24"/>
              </w:rPr>
              <w:t>02.05.2023</w:t>
            </w:r>
          </w:p>
        </w:tc>
        <w:tc>
          <w:tcPr>
            <w:tcW w:w="4515" w:type="dxa"/>
            <w:vMerge w:val="restart"/>
          </w:tcPr>
          <w:p w:rsidR="008E16C4" w:rsidRPr="008E16C4" w:rsidRDefault="008E16C4" w:rsidP="00F922B8">
            <w:pPr>
              <w:widowControl w:val="0"/>
              <w:tabs>
                <w:tab w:val="left" w:pos="0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ar-SA"/>
              </w:rPr>
              <w:t>3</w:t>
            </w:r>
            <w:r w:rsidRPr="008E16C4">
              <w:rPr>
                <w:rFonts w:ascii="Times New Roman" w:hAnsi="Times New Roman" w:cs="Times New Roman"/>
                <w:b/>
                <w:szCs w:val="24"/>
                <w:lang w:eastAsia="ar-SA"/>
              </w:rPr>
              <w:t>. Мероприятия по устранению причин несчастного случая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Провести внеплановый инструктаж по результатам расследования несчастного случая работникам филиала «Северо-Западный» АО «</w:t>
            </w:r>
            <w:proofErr w:type="spellStart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Оборонэнерго</w:t>
            </w:r>
            <w:proofErr w:type="spellEnd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Провести проверку наличия трансформаторов напряжения и других видов трансформаторов в линейных камерах типа КСО всех трансформаторных подстанций, после чего разработать, утвердить в структурных подразделениях (РЭС) перечни таких ТП, с обязательным ознакомлением работников, организующих и выполняющих работы в электроустановках с перечнем.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Провести тренировку правильности заполнения нарядов, под контролем специалистов по охране труда для всех работников, которым предоставлено право выдачи нарядов.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4. Организовать переработку карты </w:t>
            </w:r>
            <w:proofErr w:type="gramStart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</w:t>
            </w:r>
            <w:proofErr w:type="gramEnd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относящуюся к рабочему месту работника, с которым произошел несчастный случай.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Провести электротехническому персоналу показательный допуск к работам по наряду-допуску, распоряжению и работам, выполняемых в порядке текущей эксплуатации, а также по обеспечению мер безопасности при проведении работ в электроустановках. При проведении показательного допуска </w:t>
            </w:r>
            <w:proofErr w:type="gramStart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уделить особое внимание на соблюдение</w:t>
            </w:r>
            <w:proofErr w:type="gramEnd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требований ПОТ ЭЭ (главы IV-VII, X-XXIII).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Обеспечить личную проверку или проверку заместителями начальника РЭС – главными инженерами каждого выдаваемого наряда-допуска, во всех структурных подразделениях РЭС, перед началом производства работ на предмет соблюдения правил по охране труда, а также правильности указанных мероприятий по подготовке рабочих мест к выполнению работ.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7.Проработать все выявленные нарушения требований охраны труда, а также нарушения локальных нормативных актов с работниками филиала.</w:t>
            </w:r>
          </w:p>
          <w:p w:rsidR="00F922B8" w:rsidRPr="00F922B8" w:rsidRDefault="00F922B8" w:rsidP="00F922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8. Разработать дополнительную технологическую карту на проведение работ по отсоединению и присоединению (подключению) жил силовых КЛ 6-10 </w:t>
            </w:r>
            <w:proofErr w:type="spellStart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</w:t>
            </w:r>
            <w:proofErr w:type="spellEnd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электроустановках выше 1000 В непосредственно в линейных камерах типа КСО, оборудованных трансформаторами напряжения.</w:t>
            </w:r>
          </w:p>
          <w:p w:rsidR="00F922B8" w:rsidRPr="00F922B8" w:rsidRDefault="00F922B8" w:rsidP="00F922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9. В связи с происшедшим на рабочем месте несчастным случаем с работником на производстве, причиной которого явилось воздействие на работника вредных производственных факторов, провести внеплановую специальную оценку труда (пп.6 п.1. ст. 17 </w:t>
            </w:r>
            <w:hyperlink r:id="rId9" w:history="1">
              <w:r w:rsidRPr="00F922B8">
                <w:rPr>
                  <w:rFonts w:ascii="Times New Roman" w:hAnsi="Times New Roman" w:cs="Times New Roman"/>
                </w:rPr>
                <w:t>Федерального закона от 28.12.2013 № 426-ФЗ «О специальной оценке условий труда)</w:t>
              </w:r>
              <w:r w:rsidRPr="00F922B8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.</w:t>
              </w:r>
            </w:hyperlink>
          </w:p>
          <w:p w:rsidR="00F922B8" w:rsidRDefault="00F922B8" w:rsidP="00F922B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 Информировать работников о праве создания профсоюзной организации для осуществления профсоюзного контроля охраны труда организации.</w:t>
            </w:r>
          </w:p>
          <w:p w:rsidR="00F922B8" w:rsidRDefault="00F922B8" w:rsidP="00F922B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D47015" w:rsidRPr="00D47015" w:rsidRDefault="00F922B8" w:rsidP="009D2E33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4. </w:t>
            </w:r>
            <w:r w:rsidR="008E16C4" w:rsidRPr="008E16C4">
              <w:rPr>
                <w:rFonts w:ascii="Times New Roman" w:hAnsi="Times New Roman" w:cs="Times New Roman"/>
                <w:b/>
                <w:szCs w:val="24"/>
              </w:rPr>
              <w:t>Административные меры, при</w:t>
            </w:r>
            <w:r w:rsidR="00781B47">
              <w:rPr>
                <w:rFonts w:ascii="Times New Roman" w:hAnsi="Times New Roman" w:cs="Times New Roman"/>
                <w:b/>
                <w:szCs w:val="24"/>
              </w:rPr>
              <w:t>нятые руководителем предприятия</w:t>
            </w:r>
          </w:p>
          <w:p w:rsidR="009D2E33" w:rsidRPr="009D2E33" w:rsidRDefault="0042561A" w:rsidP="009607B5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9D2E33">
              <w:rPr>
                <w:rFonts w:ascii="Times New Roman" w:hAnsi="Times New Roman" w:cs="Times New Roman"/>
                <w:szCs w:val="24"/>
              </w:rPr>
              <w:t>Виновные</w:t>
            </w:r>
            <w:r w:rsidR="008E16C4" w:rsidRPr="009D2E33">
              <w:rPr>
                <w:rFonts w:ascii="Times New Roman" w:hAnsi="Times New Roman" w:cs="Times New Roman"/>
                <w:szCs w:val="24"/>
              </w:rPr>
              <w:t xml:space="preserve"> должностные лица и работники</w:t>
            </w:r>
            <w:r w:rsidR="009D2E33" w:rsidRPr="009D2E33">
              <w:rPr>
                <w:rFonts w:ascii="Times New Roman" w:hAnsi="Times New Roman" w:cs="Times New Roman"/>
                <w:szCs w:val="24"/>
              </w:rPr>
              <w:t>:</w:t>
            </w:r>
          </w:p>
          <w:p w:rsidR="008E16C4" w:rsidRPr="008E16C4" w:rsidRDefault="009D2E33" w:rsidP="009607B5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9D2E33">
              <w:rPr>
                <w:rFonts w:ascii="Times New Roman" w:hAnsi="Times New Roman" w:cs="Times New Roman"/>
              </w:rPr>
              <w:t>старший мастер Шмелев С.И., электромонтёр по эксплуатации распределительных сетей 4 разряда Горбатов Д.С., диспетчер ОДС Куликов Д.В.</w:t>
            </w:r>
            <w:r w:rsidR="008E16C4" w:rsidRPr="009D2E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E16C4" w:rsidRPr="009D2E33">
              <w:rPr>
                <w:rFonts w:ascii="Times New Roman" w:hAnsi="Times New Roman" w:cs="Times New Roman"/>
                <w:szCs w:val="24"/>
              </w:rPr>
              <w:t>депримированы</w:t>
            </w:r>
            <w:proofErr w:type="spellEnd"/>
            <w:r w:rsidR="008E16C4" w:rsidRPr="009D2E3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9D2E33">
              <w:rPr>
                <w:rFonts w:ascii="Times New Roman" w:hAnsi="Times New Roman" w:cs="Times New Roman"/>
                <w:szCs w:val="24"/>
              </w:rPr>
              <w:t>им объявлен выговор</w:t>
            </w:r>
            <w:r w:rsidR="00986CAD" w:rsidRPr="009D2E33">
              <w:rPr>
                <w:rFonts w:ascii="Times New Roman" w:hAnsi="Times New Roman" w:cs="Times New Roman"/>
                <w:szCs w:val="24"/>
              </w:rPr>
              <w:t>.</w:t>
            </w:r>
          </w:p>
          <w:p w:rsidR="008E16C4" w:rsidRPr="008E16C4" w:rsidRDefault="008E16C4" w:rsidP="00650EB3">
            <w:pPr>
              <w:tabs>
                <w:tab w:val="left" w:pos="1008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8E16C4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8E16C4">
              <w:rPr>
                <w:rFonts w:ascii="Times New Roman" w:hAnsi="Times New Roman" w:cs="Times New Roman"/>
                <w:b/>
                <w:szCs w:val="24"/>
              </w:rPr>
              <w:t>Наименование организации</w:t>
            </w:r>
          </w:p>
        </w:tc>
        <w:tc>
          <w:tcPr>
            <w:tcW w:w="4139" w:type="dxa"/>
            <w:vAlign w:val="center"/>
          </w:tcPr>
          <w:p w:rsidR="00AF69E1" w:rsidRPr="008E16C4" w:rsidRDefault="000A6B50" w:rsidP="00AF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B50">
              <w:rPr>
                <w:rFonts w:ascii="Times New Roman" w:hAnsi="Times New Roman" w:cs="Times New Roman"/>
                <w:szCs w:val="24"/>
              </w:rPr>
              <w:t>АО «</w:t>
            </w:r>
            <w:proofErr w:type="spellStart"/>
            <w:r w:rsidRPr="000A6B50">
              <w:rPr>
                <w:rFonts w:ascii="Times New Roman" w:hAnsi="Times New Roman" w:cs="Times New Roman"/>
                <w:szCs w:val="24"/>
              </w:rPr>
              <w:t>Оборонэнерго</w:t>
            </w:r>
            <w:proofErr w:type="spellEnd"/>
            <w:r w:rsidRPr="000A6B50">
              <w:rPr>
                <w:rFonts w:ascii="Times New Roman" w:hAnsi="Times New Roman" w:cs="Times New Roman"/>
                <w:szCs w:val="24"/>
              </w:rPr>
              <w:t>», филиал «Северо-Западный»</w:t>
            </w:r>
          </w:p>
        </w:tc>
        <w:tc>
          <w:tcPr>
            <w:tcW w:w="4515" w:type="dxa"/>
            <w:vMerge/>
          </w:tcPr>
          <w:p w:rsidR="008E16C4" w:rsidRPr="008E16C4" w:rsidRDefault="008E16C4" w:rsidP="00650EB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8E16C4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8E16C4">
              <w:rPr>
                <w:rFonts w:ascii="Times New Roman" w:hAnsi="Times New Roman" w:cs="Times New Roman"/>
                <w:b/>
                <w:szCs w:val="24"/>
              </w:rPr>
              <w:t>Место несчастного случая</w:t>
            </w:r>
          </w:p>
        </w:tc>
        <w:tc>
          <w:tcPr>
            <w:tcW w:w="4139" w:type="dxa"/>
            <w:vAlign w:val="center"/>
          </w:tcPr>
          <w:p w:rsidR="008E16C4" w:rsidRPr="008E16C4" w:rsidRDefault="000A6B50" w:rsidP="000A6B5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B50">
              <w:rPr>
                <w:rFonts w:ascii="Times New Roman" w:hAnsi="Times New Roman" w:cs="Times New Roman"/>
                <w:szCs w:val="24"/>
              </w:rPr>
              <w:t xml:space="preserve">Санкт-Петербург, г. Кронштадт, трансформаторная подстанция 10/0,4 </w:t>
            </w:r>
            <w:proofErr w:type="spellStart"/>
            <w:r w:rsidRPr="000A6B50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0A6B50">
              <w:rPr>
                <w:rFonts w:ascii="Times New Roman" w:hAnsi="Times New Roman" w:cs="Times New Roman"/>
                <w:szCs w:val="24"/>
              </w:rPr>
              <w:t xml:space="preserve"> ТП-164 </w:t>
            </w:r>
          </w:p>
        </w:tc>
        <w:tc>
          <w:tcPr>
            <w:tcW w:w="4515" w:type="dxa"/>
            <w:vMerge/>
          </w:tcPr>
          <w:p w:rsidR="008E16C4" w:rsidRPr="008E16C4" w:rsidRDefault="008E16C4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8E16C4" w:rsidTr="00DF18E3">
        <w:trPr>
          <w:jc w:val="center"/>
        </w:trPr>
        <w:tc>
          <w:tcPr>
            <w:tcW w:w="2235" w:type="dxa"/>
          </w:tcPr>
          <w:p w:rsidR="008E16C4" w:rsidRPr="008E16C4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8E16C4">
              <w:rPr>
                <w:rFonts w:ascii="Times New Roman" w:hAnsi="Times New Roman" w:cs="Times New Roman"/>
                <w:b/>
                <w:szCs w:val="24"/>
              </w:rPr>
              <w:t>Вид происшествия</w:t>
            </w:r>
          </w:p>
        </w:tc>
        <w:tc>
          <w:tcPr>
            <w:tcW w:w="4139" w:type="dxa"/>
            <w:vAlign w:val="center"/>
          </w:tcPr>
          <w:p w:rsidR="008E16C4" w:rsidRPr="008E16C4" w:rsidRDefault="008E16C4" w:rsidP="008E16C4">
            <w:pPr>
              <w:jc w:val="center"/>
              <w:rPr>
                <w:rFonts w:ascii="Times New Roman" w:hAnsi="Times New Roman"/>
                <w:bCs/>
                <w:iCs/>
                <w:spacing w:val="-8"/>
                <w:szCs w:val="24"/>
                <w:lang w:eastAsia="ru-RU"/>
              </w:rPr>
            </w:pPr>
            <w:r w:rsidRPr="008E16C4">
              <w:rPr>
                <w:rFonts w:ascii="Times New Roman" w:hAnsi="Times New Roman" w:cs="Times New Roman"/>
                <w:szCs w:val="24"/>
              </w:rPr>
              <w:t>Поражение электрическим током</w:t>
            </w:r>
          </w:p>
        </w:tc>
        <w:tc>
          <w:tcPr>
            <w:tcW w:w="4515" w:type="dxa"/>
            <w:vMerge/>
          </w:tcPr>
          <w:p w:rsidR="008E16C4" w:rsidRPr="008E16C4" w:rsidRDefault="008E16C4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8E16C4" w:rsidTr="00DF18E3">
        <w:trPr>
          <w:trHeight w:val="3683"/>
          <w:jc w:val="center"/>
        </w:trPr>
        <w:tc>
          <w:tcPr>
            <w:tcW w:w="6374" w:type="dxa"/>
            <w:gridSpan w:val="2"/>
          </w:tcPr>
          <w:p w:rsidR="008E16C4" w:rsidRDefault="00F922B8" w:rsidP="00F922B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8E16C4" w:rsidRPr="008E16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Краткое описание несчастного случая</w:t>
            </w:r>
          </w:p>
          <w:p w:rsidR="00F922B8" w:rsidRPr="00F922B8" w:rsidRDefault="00F922B8" w:rsidP="00F922B8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F922B8">
              <w:rPr>
                <w:rFonts w:ascii="Times New Roman" w:hAnsi="Times New Roman" w:cs="Times New Roman"/>
              </w:rPr>
              <w:t xml:space="preserve">2 мая 2023 г. в 10 ч. 30 мин. старшим мастером Шмелевым С.И. выдан наряд-допуск № 380 для работы в электроустановках. Согласно данному наряду бригаде поручено произвести в ТП-164 </w:t>
            </w:r>
            <w:proofErr w:type="spellStart"/>
            <w:r w:rsidRPr="00F922B8">
              <w:rPr>
                <w:rFonts w:ascii="Times New Roman" w:hAnsi="Times New Roman" w:cs="Times New Roman"/>
              </w:rPr>
              <w:t>фазировку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КЛ-10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кВ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ТП-163-II-ТП-164-II, время работы определено с 9.00 до 12.00 02.05.2023. Назначены: старший мастер Шмелев С.И. - лицо, выдающее наряд; электромонтер по эксплуатации распределительных сетей 4 разряда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- допускающий, бригада: электромонтёр по эксплуатации распределительных сетей 4 разряда Горбатов Д.С. – производитель работ, электромонтёр по эксплуатации распределительных сетей 4 разряда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П.Г.– член бригады. </w:t>
            </w:r>
          </w:p>
          <w:p w:rsidR="00F922B8" w:rsidRPr="00F922B8" w:rsidRDefault="00F922B8" w:rsidP="00F922B8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F922B8">
              <w:rPr>
                <w:rFonts w:ascii="Times New Roman" w:hAnsi="Times New Roman" w:cs="Times New Roman"/>
              </w:rPr>
              <w:t xml:space="preserve">В 11.00 допускающий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запросил разрешение на подготовку рабочего места по наряду-допуску № 380 у диспетчера ОДС Куликова Д.В., разрешение было получено, после чего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и Горбатов Д.С. с помощью УПСОФ 15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кВ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922B8">
              <w:rPr>
                <w:rFonts w:ascii="Times New Roman" w:hAnsi="Times New Roman" w:cs="Times New Roman"/>
              </w:rPr>
              <w:t>и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применив диэлектрические перчатки проверили соответствие чередования фаз ячейке № 6 ТП-164. </w:t>
            </w:r>
            <w:proofErr w:type="gramStart"/>
            <w:r w:rsidRPr="00F922B8">
              <w:rPr>
                <w:rFonts w:ascii="Times New Roman" w:hAnsi="Times New Roman" w:cs="Times New Roman"/>
              </w:rPr>
              <w:t xml:space="preserve">Было установлено несоответствие чередования фаз, о чем были сделаны записи на последних страницах инструкции по оказанию первой помощи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Запольскаса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Далее,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и Горбатов Д.С. прибыли на ТП-163, где произвели технические мероприятия, указанные в наряде № 380 (отключили ВН-10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кВ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и включили заземляющие ножи в сторону ТП-164, вывесили плакаты безопасности), после чего допускающий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 доложил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диспетчеру ОДС Куликову Д.В. о том, что рабочее место подготовлено, о чем свидетельствует запись в оперативном журнале диспетчера (11.27), хотя не было произведено включение заземляющих ножей в </w:t>
            </w:r>
            <w:proofErr w:type="spellStart"/>
            <w:r w:rsidRPr="00F922B8">
              <w:rPr>
                <w:rFonts w:ascii="Times New Roman" w:hAnsi="Times New Roman" w:cs="Times New Roman"/>
              </w:rPr>
              <w:t>яч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. № 6 в ТП-164 в сторону ТП-163 (бригада решила произвести данную операцию после обеденного перерыва). </w:t>
            </w:r>
            <w:proofErr w:type="gramStart"/>
            <w:r w:rsidRPr="00F922B8">
              <w:rPr>
                <w:rFonts w:ascii="Times New Roman" w:hAnsi="Times New Roman" w:cs="Times New Roman"/>
              </w:rPr>
              <w:t xml:space="preserve">В соответствии с записью в оперативном журнале, бригада была допущена к выполнению работ в 11.40 и примерно в это же время допускающий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и производитель работ Горбатов Д.С. вернулись на территорию РЭС, где член бригады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П.Г., который остался на производственной базе РЭС по причине плохого самочувствия, поставил соответствующие подписи в наряде-допуске, как член бригады.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Таким образом, допуск к работам и целевые инструктажи на рабочем месте фактически не производились. В результате не был точно определен порядок выполнения работ, не было установлено и показано оборудование вблизи рабочего места, оставшееся под напряжением, к которому не допускается приближение меньше допустимого. 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22B8">
              <w:rPr>
                <w:rFonts w:ascii="Times New Roman" w:hAnsi="Times New Roman" w:cs="Times New Roman"/>
              </w:rPr>
              <w:t xml:space="preserve">Все дальнейшие работы, которые проводили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и Горбатов Д.С. не соответствуют полученному заданию и проводились за пределами времени, определенным нарядом № 380. С 12.00 по 13.00,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и Горбатов Д.С. приехали </w:t>
            </w:r>
            <w:r w:rsidRPr="00F922B8">
              <w:rPr>
                <w:rFonts w:ascii="Times New Roman" w:hAnsi="Times New Roman" w:cs="Times New Roman"/>
              </w:rPr>
              <w:lastRenderedPageBreak/>
              <w:t xml:space="preserve">к ТП-164, где со слесарным инструментом, средствами защиты (УПСОФ 15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кВ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№ 60 и диэлектрические перчатки № 104), вошли в РУ-10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кВ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ТП-164 и приступили к работам.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в ТП-164 </w:t>
            </w:r>
            <w:proofErr w:type="spellStart"/>
            <w:r w:rsidRPr="00F922B8">
              <w:rPr>
                <w:rFonts w:ascii="Times New Roman" w:hAnsi="Times New Roman" w:cs="Times New Roman"/>
              </w:rPr>
              <w:t>яч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. 6 включил заземляющие ножи в сторону ТП-163. Горбатов Д.С. приступил к выполнению работы по чередованию фаз. Предположительно, работники не учли, что при принятых ими мерах по отключению и заземлению электрооборудования часть оборудования в ячейке № 6 остается под напряжением 10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кВ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, а именно: шины в верхней части ячейки и трансформатор напряжения типа ОЛСП-НТЗ-1,25/10, установленный на полу ячейки и подключенный гибкими проводами к этим шинам. </w:t>
            </w:r>
            <w:proofErr w:type="gramStart"/>
            <w:r w:rsidRPr="00F922B8">
              <w:rPr>
                <w:rFonts w:ascii="Times New Roman" w:hAnsi="Times New Roman" w:cs="Times New Roman"/>
              </w:rPr>
              <w:t xml:space="preserve">На момент несчастного случая, было выполнено чередование фаз </w:t>
            </w:r>
            <w:r w:rsidRPr="00F922B8">
              <w:rPr>
                <w:rFonts w:ascii="Times New Roman" w:hAnsi="Times New Roman" w:cs="Times New Roman"/>
                <w:lang w:val="en-US"/>
              </w:rPr>
              <w:t>B</w:t>
            </w:r>
            <w:r w:rsidRPr="00F922B8">
              <w:rPr>
                <w:rFonts w:ascii="Times New Roman" w:hAnsi="Times New Roman" w:cs="Times New Roman"/>
              </w:rPr>
              <w:t xml:space="preserve"> и С. Возможности точно определить, кто производил работы нет, однако из объяснений Горбатова Д.С. следует, что он </w:t>
            </w:r>
            <w:proofErr w:type="spellStart"/>
            <w:r w:rsidRPr="00F922B8">
              <w:rPr>
                <w:rFonts w:ascii="Times New Roman" w:hAnsi="Times New Roman" w:cs="Times New Roman"/>
              </w:rPr>
              <w:t>сфазировал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фазы </w:t>
            </w:r>
            <w:r w:rsidRPr="00F922B8">
              <w:rPr>
                <w:rFonts w:ascii="Times New Roman" w:hAnsi="Times New Roman" w:cs="Times New Roman"/>
                <w:lang w:val="en-US"/>
              </w:rPr>
              <w:t>B</w:t>
            </w:r>
            <w:r w:rsidRPr="00F922B8">
              <w:rPr>
                <w:rFonts w:ascii="Times New Roman" w:hAnsi="Times New Roman" w:cs="Times New Roman"/>
              </w:rPr>
              <w:t xml:space="preserve"> и </w:t>
            </w:r>
            <w:r w:rsidRPr="00F922B8">
              <w:rPr>
                <w:rFonts w:ascii="Times New Roman" w:hAnsi="Times New Roman" w:cs="Times New Roman"/>
                <w:lang w:val="en-US"/>
              </w:rPr>
              <w:t>C</w:t>
            </w:r>
            <w:r w:rsidRPr="00F922B8">
              <w:rPr>
                <w:rFonts w:ascii="Times New Roman" w:hAnsi="Times New Roman" w:cs="Times New Roman"/>
              </w:rPr>
              <w:t xml:space="preserve">, а чтобы наживить на болт шины наконечник фазы А не хватило физических сил, а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предложил свою помощь, от которой Горбатов Д.С. не отказался.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Далее,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выполняя </w:t>
            </w:r>
            <w:proofErr w:type="gramStart"/>
            <w:r w:rsidRPr="00F922B8">
              <w:rPr>
                <w:rFonts w:ascii="Times New Roman" w:hAnsi="Times New Roman" w:cs="Times New Roman"/>
              </w:rPr>
              <w:t>работу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попросил Горбатова Д.С. подать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болтовёрт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, Горбатов Д.С. повернулся за инструментом, услышал звук электрической дуги, обернулся и увидел, что в 13.29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попал под напряжение (по нему «бегала электрическая дуга»), после чего произошел хлопок и электроснабжение ТП-164 прекратилось ввиду отключения выключателя В-10 на ПС-86 в сторону РП-2010. После этого Горбатов Д.С. по телефону </w:t>
            </w:r>
            <w:proofErr w:type="gramStart"/>
            <w:r w:rsidRPr="00F922B8">
              <w:rPr>
                <w:rFonts w:ascii="Times New Roman" w:hAnsi="Times New Roman" w:cs="Times New Roman"/>
              </w:rPr>
              <w:t>вызвал бригаду скорой помощи и доложил о случившемся старшему мастеру Шмелеву С.И. и диспетчеру ОДС Куликову Д.В. Приехавшая бригада скорой помощи констатировала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смерть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Запольскаса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</w:t>
            </w:r>
          </w:p>
          <w:p w:rsidR="000A6B50" w:rsidRPr="000A6B50" w:rsidRDefault="000A6B50" w:rsidP="000A6B5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22B8" w:rsidRDefault="00F922B8" w:rsidP="00F922B8">
            <w:pPr>
              <w:pStyle w:val="1"/>
              <w:spacing w:after="120"/>
              <w:ind w:left="357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2. </w:t>
            </w:r>
            <w:r w:rsidR="0087282A" w:rsidRPr="00F922B8">
              <w:rPr>
                <w:rFonts w:ascii="Times New Roman" w:hAnsi="Times New Roman"/>
                <w:b/>
                <w:szCs w:val="24"/>
              </w:rPr>
              <w:t>Причины несчастного случая</w:t>
            </w:r>
          </w:p>
          <w:p w:rsidR="00F922B8" w:rsidRPr="00F922B8" w:rsidRDefault="00F922B8" w:rsidP="00F922B8">
            <w:pPr>
              <w:pStyle w:val="1"/>
              <w:spacing w:before="120" w:after="120"/>
              <w:ind w:left="885"/>
              <w:jc w:val="center"/>
              <w:rPr>
                <w:rFonts w:ascii="Times New Roman" w:hAnsi="Times New Roman"/>
              </w:rPr>
            </w:pPr>
            <w:r w:rsidRPr="00F922B8">
              <w:rPr>
                <w:rFonts w:ascii="Times New Roman" w:hAnsi="Times New Roman"/>
              </w:rPr>
              <w:t>Основные:</w:t>
            </w:r>
          </w:p>
          <w:p w:rsidR="00F922B8" w:rsidRPr="00F922B8" w:rsidRDefault="00F922B8" w:rsidP="00F922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Запольскасом</w:t>
            </w:r>
            <w:proofErr w:type="spellEnd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А.Г. и Горбатовым Д.С. было допущено самовольное проведение работ в действующих электроустановках, в том числе не оформление работ соответствующим образом, а именно - отсутствовал наряд-допуск на проведение работ, не получено разрешение на подготовку рабочего места и на допуск к работе, отсутствовал допуск к работе (п. 4.2, 5.1, 6.1 ПОТ ЭЭ), что выразилось в самовольном определении объема работ, места</w:t>
            </w:r>
            <w:proofErr w:type="gramEnd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времени проведения работ, в том числе отсутствие организационных и технических мероприят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ий.</w:t>
            </w:r>
          </w:p>
          <w:p w:rsidR="00F922B8" w:rsidRPr="00F922B8" w:rsidRDefault="00F922B8" w:rsidP="00F922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Запольскасом</w:t>
            </w:r>
            <w:proofErr w:type="spellEnd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А.Г. и Горбатовым Д.С. было допущено производство работ при отсутствии необходимых отключений и (или) отсоединений, отсутствии принятых мер препятствующих самопроизвольному включению коммутационных аппаратов, а также отсутствии вывешенных плакатов безопасности, невыполнении проверки отсутствия напряжения на токоведущих частях, которые должны быть заземлены (п. 16.1 ПОТ ЭЭ), что выразилось в отсутствии технических мероприятий по обеспечению безопасного проведения работ в электроустановках.</w:t>
            </w:r>
            <w:proofErr w:type="gramEnd"/>
          </w:p>
          <w:p w:rsidR="00F922B8" w:rsidRPr="00F922B8" w:rsidRDefault="00F922B8" w:rsidP="00F922B8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22B8">
              <w:rPr>
                <w:rFonts w:ascii="Times New Roman" w:hAnsi="Times New Roman" w:cs="Times New Roman"/>
              </w:rPr>
              <w:t>Сопутствующие:</w:t>
            </w:r>
          </w:p>
          <w:p w:rsidR="00F922B8" w:rsidRPr="00F922B8" w:rsidRDefault="00F922B8" w:rsidP="00F922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Неудовлетворительная организация производства работ, </w:t>
            </w:r>
            <w:proofErr w:type="gramStart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выразившееся</w:t>
            </w:r>
            <w:proofErr w:type="gramEnd"/>
            <w:r w:rsidRPr="00F922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в: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22B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922B8">
              <w:rPr>
                <w:rFonts w:ascii="Times New Roman" w:hAnsi="Times New Roman" w:cs="Times New Roman"/>
              </w:rPr>
              <w:t>допущении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нарушения допустимого расстояния до токоведущих частей электроустановки (п.3.3, таблица 1 ПОТ </w:t>
            </w:r>
            <w:r w:rsidRPr="00F922B8">
              <w:rPr>
                <w:rFonts w:ascii="Times New Roman" w:hAnsi="Times New Roman" w:cs="Times New Roman"/>
              </w:rPr>
              <w:lastRenderedPageBreak/>
              <w:t xml:space="preserve">ЭЭ), что выразилось в непосредственном прикосновении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Запольскасом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А.Г. к токоведущим частям, находящимся под напряжением;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22B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922B8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контроля за временем окончания работ по наряду-допуску, за своевременным закрытием наряда-допуска, а также отсутствии контроля за местонахождением бригады (п.4.2 ПОТ ЭЭ), что выразилось в отсутствии координации и контроля за местонахождением бригады и не оформлении окончания работ по наряду-допуску;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22B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922B8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F922B8">
              <w:rPr>
                <w:rFonts w:ascii="Times New Roman" w:hAnsi="Times New Roman" w:cs="Times New Roman"/>
              </w:rPr>
              <w:t xml:space="preserve"> отдачи команд непосредственно перед началом переключений в электроустановках на производство переключений (п. 204, 206 Правил переключений в электроустановках, утвержденных приказом Минэнерго России от 13.09.2018 № 757), что выразилось в отсутствии контроля со стороны ответственного работника при переключениях в действующей электроустановке;</w:t>
            </w:r>
          </w:p>
          <w:p w:rsidR="00F922B8" w:rsidRPr="00F922B8" w:rsidRDefault="00F922B8" w:rsidP="00F92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22B8">
              <w:rPr>
                <w:rFonts w:ascii="Times New Roman" w:hAnsi="Times New Roman" w:cs="Times New Roman"/>
                <w:color w:val="000000"/>
              </w:rPr>
              <w:t xml:space="preserve">- неверном указании </w:t>
            </w:r>
            <w:r w:rsidRPr="00F922B8">
              <w:rPr>
                <w:rFonts w:ascii="Times New Roman" w:hAnsi="Times New Roman" w:cs="Times New Roman"/>
              </w:rPr>
              <w:t>при оформлении наряда-допуска № 380 задания: в графе «поручается» неясно сформулировано задание на работу</w:t>
            </w:r>
            <w:r w:rsidR="009D2E33">
              <w:rPr>
                <w:rFonts w:ascii="Times New Roman" w:hAnsi="Times New Roman" w:cs="Times New Roman"/>
              </w:rPr>
              <w:t>,</w:t>
            </w:r>
            <w:r w:rsidRPr="00F922B8">
              <w:rPr>
                <w:rFonts w:ascii="Times New Roman" w:hAnsi="Times New Roman" w:cs="Times New Roman"/>
              </w:rPr>
              <w:t xml:space="preserve"> не указано место проведения работ, указанные мероприятия по подготовке рабочего места недостаточны для проведения работ на токоведущих частях 10 </w:t>
            </w:r>
            <w:proofErr w:type="spellStart"/>
            <w:r w:rsidRPr="00F922B8">
              <w:rPr>
                <w:rFonts w:ascii="Times New Roman" w:hAnsi="Times New Roman" w:cs="Times New Roman"/>
              </w:rPr>
              <w:t>кВ</w:t>
            </w:r>
            <w:proofErr w:type="spellEnd"/>
            <w:r w:rsidRPr="00F922B8">
              <w:rPr>
                <w:rFonts w:ascii="Times New Roman" w:hAnsi="Times New Roman" w:cs="Times New Roman"/>
              </w:rPr>
              <w:t xml:space="preserve"> в ячейке № 6, некорректно заполнена графа «что должно быть изолировано (ограждено)» - вместо указания конкретного оборудования применена формулировка «место производства работ» (п.</w:t>
            </w:r>
            <w:r w:rsidR="009D2E33">
              <w:rPr>
                <w:rFonts w:ascii="Times New Roman" w:hAnsi="Times New Roman" w:cs="Times New Roman"/>
              </w:rPr>
              <w:t xml:space="preserve"> 5.3, 6.25 ПОТ ЭЭ)</w:t>
            </w:r>
            <w:r w:rsidRPr="00F922B8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D64EF" w:rsidRDefault="00F922B8" w:rsidP="00F922B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22B8">
              <w:rPr>
                <w:rFonts w:ascii="Times New Roman" w:hAnsi="Times New Roman" w:cs="Times New Roman"/>
              </w:rPr>
              <w:t>- в выдаче разрешения на подготовку рабочего места при несоответствии технических мероприятий планируемым работам, указанным в наряде-допуске №</w:t>
            </w:r>
            <w:r w:rsidR="009D2E33">
              <w:rPr>
                <w:rFonts w:ascii="Times New Roman" w:hAnsi="Times New Roman" w:cs="Times New Roman"/>
              </w:rPr>
              <w:t xml:space="preserve"> </w:t>
            </w:r>
            <w:r w:rsidRPr="00F922B8">
              <w:rPr>
                <w:rFonts w:ascii="Times New Roman" w:hAnsi="Times New Roman" w:cs="Times New Roman"/>
              </w:rPr>
              <w:t>380, что выражено в получении разрешения на допуск бригады к работам от ответственного работника</w:t>
            </w:r>
            <w:r w:rsidRPr="00F922B8">
              <w:rPr>
                <w:rFonts w:ascii="Times New Roman" w:hAnsi="Times New Roman" w:cs="Times New Roman"/>
                <w:color w:val="000000"/>
              </w:rPr>
              <w:t xml:space="preserve">, чем нарушены требования п. 4.2 </w:t>
            </w:r>
            <w:r w:rsidRPr="00F922B8">
              <w:rPr>
                <w:rFonts w:ascii="Times New Roman" w:hAnsi="Times New Roman" w:cs="Times New Roman"/>
              </w:rPr>
              <w:t>ПОТ ЭЭ</w:t>
            </w:r>
            <w:r w:rsidRPr="00F922B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D73D3" w:rsidRDefault="00DD73D3" w:rsidP="00F922B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D73D3" w:rsidRPr="008E16C4" w:rsidRDefault="00DD73D3" w:rsidP="00DD73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16C4">
              <w:rPr>
                <w:rFonts w:ascii="Times New Roman" w:hAnsi="Times New Roman" w:cs="Times New Roman"/>
                <w:b/>
                <w:szCs w:val="28"/>
              </w:rPr>
              <w:t>4. Фото места происшествия</w:t>
            </w:r>
          </w:p>
          <w:p w:rsidR="00DD73D3" w:rsidRDefault="00DD73D3" w:rsidP="00F922B8">
            <w:pPr>
              <w:jc w:val="both"/>
              <w:rPr>
                <w:bCs/>
                <w:iCs/>
                <w:spacing w:val="-8"/>
                <w:lang w:eastAsia="ru-RU"/>
              </w:rPr>
            </w:pPr>
          </w:p>
          <w:p w:rsidR="00DD73D3" w:rsidRDefault="00DD73D3" w:rsidP="00DD73D3">
            <w:pPr>
              <w:jc w:val="center"/>
              <w:rPr>
                <w:bCs/>
                <w:iCs/>
                <w:spacing w:val="-8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E00AADF" wp14:editId="1AA7E36A">
                  <wp:extent cx="1387151" cy="3001993"/>
                  <wp:effectExtent l="0" t="0" r="3810" b="8255"/>
                  <wp:docPr id="1" name="Рисунок 1" descr="N:\ОНЭП\Шутов О.Е\Хвосты май 2023\Несчастный случай Запольскас АГ\фото\PHOTO-2023-05-23-15-43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ОНЭП\Шутов О.Е\Хвосты май 2023\Несчастный случай Запольскас АГ\фото\PHOTO-2023-05-23-15-43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51" cy="300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03DA0E1C" wp14:editId="5F5BEEAF">
                  <wp:extent cx="1388853" cy="3005675"/>
                  <wp:effectExtent l="0" t="0" r="1905" b="4445"/>
                  <wp:docPr id="2" name="Рисунок 2" descr="N:\ОНЭП\Шутов О.Е\Хвосты май 2023\Несчастный случай Запольскас АГ\фото\PHOTO-2023-05-23-15-43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ОНЭП\Шутов О.Е\Хвосты май 2023\Несчастный случай Запольскас АГ\фото\PHOTO-2023-05-23-15-43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300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3D3" w:rsidRDefault="00DD73D3" w:rsidP="00DD73D3">
            <w:pPr>
              <w:jc w:val="center"/>
              <w:rPr>
                <w:bCs/>
                <w:iCs/>
                <w:spacing w:val="-8"/>
                <w:lang w:eastAsia="ru-RU"/>
              </w:rPr>
            </w:pPr>
          </w:p>
          <w:p w:rsidR="00DD73D3" w:rsidRDefault="00DD73D3" w:rsidP="00DD73D3">
            <w:pPr>
              <w:jc w:val="center"/>
              <w:rPr>
                <w:bCs/>
                <w:iCs/>
                <w:spacing w:val="-8"/>
                <w:lang w:eastAsia="ru-RU"/>
              </w:rPr>
            </w:pPr>
          </w:p>
          <w:p w:rsidR="00DD73D3" w:rsidRPr="00CD64EF" w:rsidRDefault="00DD73D3" w:rsidP="00F922B8">
            <w:pPr>
              <w:jc w:val="both"/>
              <w:rPr>
                <w:bCs/>
                <w:iCs/>
                <w:spacing w:val="-8"/>
                <w:lang w:eastAsia="ru-RU"/>
              </w:rPr>
            </w:pPr>
          </w:p>
        </w:tc>
        <w:tc>
          <w:tcPr>
            <w:tcW w:w="4515" w:type="dxa"/>
            <w:vMerge/>
          </w:tcPr>
          <w:p w:rsidR="008E16C4" w:rsidRPr="008E16C4" w:rsidRDefault="008E16C4" w:rsidP="00650EB3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67476" w:rsidRDefault="007A422E" w:rsidP="00D6747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</w:t>
      </w:r>
    </w:p>
    <w:sectPr w:rsidR="00D67476" w:rsidSect="008E16C4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AD" w:rsidRDefault="00FC0CAD" w:rsidP="008C18DE">
      <w:pPr>
        <w:spacing w:after="0" w:line="240" w:lineRule="auto"/>
      </w:pPr>
      <w:r>
        <w:separator/>
      </w:r>
    </w:p>
  </w:endnote>
  <w:endnote w:type="continuationSeparator" w:id="0">
    <w:p w:rsidR="00FC0CAD" w:rsidRDefault="00FC0CAD" w:rsidP="008C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D7" w:rsidRDefault="003C79D7">
    <w:pPr>
      <w:pStyle w:val="a7"/>
      <w:jc w:val="right"/>
    </w:pPr>
  </w:p>
  <w:p w:rsidR="003C79D7" w:rsidRDefault="003C79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AD" w:rsidRDefault="00FC0CAD" w:rsidP="008C18DE">
      <w:pPr>
        <w:spacing w:after="0" w:line="240" w:lineRule="auto"/>
      </w:pPr>
      <w:r>
        <w:separator/>
      </w:r>
    </w:p>
  </w:footnote>
  <w:footnote w:type="continuationSeparator" w:id="0">
    <w:p w:rsidR="00FC0CAD" w:rsidRDefault="00FC0CAD" w:rsidP="008C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D9C"/>
    <w:multiLevelType w:val="hybridMultilevel"/>
    <w:tmpl w:val="3BDA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73B"/>
    <w:multiLevelType w:val="hybridMultilevel"/>
    <w:tmpl w:val="C53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0DD3"/>
    <w:multiLevelType w:val="hybridMultilevel"/>
    <w:tmpl w:val="FA1EF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C7E31"/>
    <w:multiLevelType w:val="hybridMultilevel"/>
    <w:tmpl w:val="5110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4DA1"/>
    <w:multiLevelType w:val="hybridMultilevel"/>
    <w:tmpl w:val="FA24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0CE1"/>
    <w:multiLevelType w:val="hybridMultilevel"/>
    <w:tmpl w:val="3A8432F0"/>
    <w:lvl w:ilvl="0" w:tplc="6560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F40F0"/>
    <w:multiLevelType w:val="hybridMultilevel"/>
    <w:tmpl w:val="535A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3C09"/>
    <w:multiLevelType w:val="hybridMultilevel"/>
    <w:tmpl w:val="94703690"/>
    <w:lvl w:ilvl="0" w:tplc="9DD2044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31676CD0"/>
    <w:multiLevelType w:val="hybridMultilevel"/>
    <w:tmpl w:val="7026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422205"/>
    <w:multiLevelType w:val="multilevel"/>
    <w:tmpl w:val="830AB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812243"/>
    <w:multiLevelType w:val="hybridMultilevel"/>
    <w:tmpl w:val="A5C4F3E8"/>
    <w:lvl w:ilvl="0" w:tplc="C7FE0DE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4BDA30E0"/>
    <w:multiLevelType w:val="hybridMultilevel"/>
    <w:tmpl w:val="5CEC2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1D38E4"/>
    <w:multiLevelType w:val="hybridMultilevel"/>
    <w:tmpl w:val="332EF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713887"/>
    <w:multiLevelType w:val="hybridMultilevel"/>
    <w:tmpl w:val="BADA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5513B"/>
    <w:multiLevelType w:val="hybridMultilevel"/>
    <w:tmpl w:val="36B0566E"/>
    <w:lvl w:ilvl="0" w:tplc="3140B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E53280"/>
    <w:multiLevelType w:val="hybridMultilevel"/>
    <w:tmpl w:val="332E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5689A"/>
    <w:multiLevelType w:val="hybridMultilevel"/>
    <w:tmpl w:val="08F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206C0"/>
    <w:multiLevelType w:val="hybridMultilevel"/>
    <w:tmpl w:val="CA9E9B6A"/>
    <w:lvl w:ilvl="0" w:tplc="C338B6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00E2A"/>
    <w:multiLevelType w:val="hybridMultilevel"/>
    <w:tmpl w:val="11BE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80A34"/>
    <w:multiLevelType w:val="multilevel"/>
    <w:tmpl w:val="BC56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>
    <w:nsid w:val="798D7098"/>
    <w:multiLevelType w:val="hybridMultilevel"/>
    <w:tmpl w:val="6354FE7E"/>
    <w:lvl w:ilvl="0" w:tplc="C89E0D6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"/>
  </w:num>
  <w:num w:numId="5">
    <w:abstractNumId w:val="14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18"/>
  </w:num>
  <w:num w:numId="13">
    <w:abstractNumId w:val="4"/>
  </w:num>
  <w:num w:numId="14">
    <w:abstractNumId w:val="6"/>
  </w:num>
  <w:num w:numId="15">
    <w:abstractNumId w:val="8"/>
  </w:num>
  <w:num w:numId="16">
    <w:abstractNumId w:val="21"/>
  </w:num>
  <w:num w:numId="17">
    <w:abstractNumId w:val="3"/>
  </w:num>
  <w:num w:numId="18">
    <w:abstractNumId w:val="5"/>
  </w:num>
  <w:num w:numId="19">
    <w:abstractNumId w:val="13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F"/>
    <w:rsid w:val="000026FB"/>
    <w:rsid w:val="00004E29"/>
    <w:rsid w:val="000078CF"/>
    <w:rsid w:val="00010CE9"/>
    <w:rsid w:val="00014DDF"/>
    <w:rsid w:val="000177AB"/>
    <w:rsid w:val="00033EC4"/>
    <w:rsid w:val="000345DD"/>
    <w:rsid w:val="00034A13"/>
    <w:rsid w:val="00052F4A"/>
    <w:rsid w:val="00060B4E"/>
    <w:rsid w:val="000627A4"/>
    <w:rsid w:val="00073B2F"/>
    <w:rsid w:val="00082912"/>
    <w:rsid w:val="000A6B50"/>
    <w:rsid w:val="000A6F5C"/>
    <w:rsid w:val="000C63EE"/>
    <w:rsid w:val="000D035C"/>
    <w:rsid w:val="000D3392"/>
    <w:rsid w:val="000E7914"/>
    <w:rsid w:val="00105411"/>
    <w:rsid w:val="00110317"/>
    <w:rsid w:val="001105DF"/>
    <w:rsid w:val="00114F6B"/>
    <w:rsid w:val="001233F6"/>
    <w:rsid w:val="001333F1"/>
    <w:rsid w:val="00160890"/>
    <w:rsid w:val="00162C98"/>
    <w:rsid w:val="00171B04"/>
    <w:rsid w:val="0017249F"/>
    <w:rsid w:val="00177983"/>
    <w:rsid w:val="001A3385"/>
    <w:rsid w:val="001B6A15"/>
    <w:rsid w:val="001C1DDA"/>
    <w:rsid w:val="001C3321"/>
    <w:rsid w:val="001D44D5"/>
    <w:rsid w:val="001E78DF"/>
    <w:rsid w:val="001F28DC"/>
    <w:rsid w:val="001F3455"/>
    <w:rsid w:val="001F4D17"/>
    <w:rsid w:val="00200666"/>
    <w:rsid w:val="00210302"/>
    <w:rsid w:val="00212621"/>
    <w:rsid w:val="002150D7"/>
    <w:rsid w:val="0021515E"/>
    <w:rsid w:val="00256302"/>
    <w:rsid w:val="00257F63"/>
    <w:rsid w:val="002619B6"/>
    <w:rsid w:val="00262296"/>
    <w:rsid w:val="00265EA6"/>
    <w:rsid w:val="00280494"/>
    <w:rsid w:val="0029257C"/>
    <w:rsid w:val="002927A4"/>
    <w:rsid w:val="00294C46"/>
    <w:rsid w:val="002A3A99"/>
    <w:rsid w:val="002B1B52"/>
    <w:rsid w:val="002C3A39"/>
    <w:rsid w:val="002D2858"/>
    <w:rsid w:val="002D71DD"/>
    <w:rsid w:val="002E1A48"/>
    <w:rsid w:val="00301FBD"/>
    <w:rsid w:val="0030691D"/>
    <w:rsid w:val="00321A57"/>
    <w:rsid w:val="003259DA"/>
    <w:rsid w:val="00331BCA"/>
    <w:rsid w:val="00337635"/>
    <w:rsid w:val="0034412B"/>
    <w:rsid w:val="0034503A"/>
    <w:rsid w:val="0035157E"/>
    <w:rsid w:val="0035368E"/>
    <w:rsid w:val="0036499A"/>
    <w:rsid w:val="00372B1C"/>
    <w:rsid w:val="00373EEF"/>
    <w:rsid w:val="00376077"/>
    <w:rsid w:val="0037768A"/>
    <w:rsid w:val="003A4001"/>
    <w:rsid w:val="003B4E57"/>
    <w:rsid w:val="003B59FF"/>
    <w:rsid w:val="003C05AD"/>
    <w:rsid w:val="003C5386"/>
    <w:rsid w:val="003C6301"/>
    <w:rsid w:val="003C79D7"/>
    <w:rsid w:val="003E0C5C"/>
    <w:rsid w:val="003E76DF"/>
    <w:rsid w:val="003F0645"/>
    <w:rsid w:val="003F329E"/>
    <w:rsid w:val="003F46B4"/>
    <w:rsid w:val="003F5459"/>
    <w:rsid w:val="003F69EA"/>
    <w:rsid w:val="00400777"/>
    <w:rsid w:val="00413BDD"/>
    <w:rsid w:val="00424A26"/>
    <w:rsid w:val="0042561A"/>
    <w:rsid w:val="00433DFE"/>
    <w:rsid w:val="004345E5"/>
    <w:rsid w:val="004347F4"/>
    <w:rsid w:val="004405EC"/>
    <w:rsid w:val="00445369"/>
    <w:rsid w:val="004521B1"/>
    <w:rsid w:val="0045627B"/>
    <w:rsid w:val="00463C37"/>
    <w:rsid w:val="00474662"/>
    <w:rsid w:val="004828C8"/>
    <w:rsid w:val="004912E5"/>
    <w:rsid w:val="004C4883"/>
    <w:rsid w:val="004C4AC0"/>
    <w:rsid w:val="004D6176"/>
    <w:rsid w:val="004E1521"/>
    <w:rsid w:val="004E298D"/>
    <w:rsid w:val="004E4715"/>
    <w:rsid w:val="004F37F5"/>
    <w:rsid w:val="004F455E"/>
    <w:rsid w:val="005032ED"/>
    <w:rsid w:val="00505B16"/>
    <w:rsid w:val="00506CEB"/>
    <w:rsid w:val="005125EE"/>
    <w:rsid w:val="005140D4"/>
    <w:rsid w:val="00517B12"/>
    <w:rsid w:val="00520748"/>
    <w:rsid w:val="00522900"/>
    <w:rsid w:val="0052721C"/>
    <w:rsid w:val="00531053"/>
    <w:rsid w:val="0054082A"/>
    <w:rsid w:val="00541575"/>
    <w:rsid w:val="00544D3C"/>
    <w:rsid w:val="0057002F"/>
    <w:rsid w:val="0059434E"/>
    <w:rsid w:val="00597FD0"/>
    <w:rsid w:val="005A2F9A"/>
    <w:rsid w:val="005A402E"/>
    <w:rsid w:val="005B12A4"/>
    <w:rsid w:val="005E613A"/>
    <w:rsid w:val="005F3817"/>
    <w:rsid w:val="00601CB2"/>
    <w:rsid w:val="0060773E"/>
    <w:rsid w:val="00613483"/>
    <w:rsid w:val="00621407"/>
    <w:rsid w:val="00626691"/>
    <w:rsid w:val="00630228"/>
    <w:rsid w:val="00650EAD"/>
    <w:rsid w:val="00667ACC"/>
    <w:rsid w:val="006737B1"/>
    <w:rsid w:val="00676E2D"/>
    <w:rsid w:val="006818C7"/>
    <w:rsid w:val="00681CAC"/>
    <w:rsid w:val="00683521"/>
    <w:rsid w:val="00695BAE"/>
    <w:rsid w:val="006B18AB"/>
    <w:rsid w:val="006B6FBC"/>
    <w:rsid w:val="006B6FD8"/>
    <w:rsid w:val="006C4CBF"/>
    <w:rsid w:val="006D386A"/>
    <w:rsid w:val="006E12F9"/>
    <w:rsid w:val="006E181C"/>
    <w:rsid w:val="006F1DFB"/>
    <w:rsid w:val="006F2611"/>
    <w:rsid w:val="006F4AA2"/>
    <w:rsid w:val="007149F9"/>
    <w:rsid w:val="00716E2C"/>
    <w:rsid w:val="0072425E"/>
    <w:rsid w:val="0073755D"/>
    <w:rsid w:val="00737F56"/>
    <w:rsid w:val="00745988"/>
    <w:rsid w:val="00751677"/>
    <w:rsid w:val="00754711"/>
    <w:rsid w:val="00756917"/>
    <w:rsid w:val="00767A3B"/>
    <w:rsid w:val="00770A35"/>
    <w:rsid w:val="007809AA"/>
    <w:rsid w:val="00781B47"/>
    <w:rsid w:val="00787338"/>
    <w:rsid w:val="007913C9"/>
    <w:rsid w:val="00791EA2"/>
    <w:rsid w:val="00795C9D"/>
    <w:rsid w:val="007A422E"/>
    <w:rsid w:val="007B427C"/>
    <w:rsid w:val="007B54D5"/>
    <w:rsid w:val="007C58A2"/>
    <w:rsid w:val="007D7771"/>
    <w:rsid w:val="007F0E6B"/>
    <w:rsid w:val="007F0E6D"/>
    <w:rsid w:val="007F20AB"/>
    <w:rsid w:val="007F260D"/>
    <w:rsid w:val="007F5619"/>
    <w:rsid w:val="00804D42"/>
    <w:rsid w:val="008067F5"/>
    <w:rsid w:val="00824819"/>
    <w:rsid w:val="0082647B"/>
    <w:rsid w:val="008329D9"/>
    <w:rsid w:val="00833504"/>
    <w:rsid w:val="00834619"/>
    <w:rsid w:val="0087282A"/>
    <w:rsid w:val="00873D2C"/>
    <w:rsid w:val="008749A5"/>
    <w:rsid w:val="00874DF9"/>
    <w:rsid w:val="008809A2"/>
    <w:rsid w:val="008833E1"/>
    <w:rsid w:val="00895EC3"/>
    <w:rsid w:val="00896F43"/>
    <w:rsid w:val="008A245F"/>
    <w:rsid w:val="008A7280"/>
    <w:rsid w:val="008B0386"/>
    <w:rsid w:val="008C18DE"/>
    <w:rsid w:val="008C1D74"/>
    <w:rsid w:val="008D2105"/>
    <w:rsid w:val="008D37F6"/>
    <w:rsid w:val="008E16C4"/>
    <w:rsid w:val="008F1DFA"/>
    <w:rsid w:val="008F7490"/>
    <w:rsid w:val="008F7BCA"/>
    <w:rsid w:val="00902607"/>
    <w:rsid w:val="00905B32"/>
    <w:rsid w:val="0091261A"/>
    <w:rsid w:val="00913C87"/>
    <w:rsid w:val="0091738B"/>
    <w:rsid w:val="00921CC0"/>
    <w:rsid w:val="00922863"/>
    <w:rsid w:val="009323F7"/>
    <w:rsid w:val="009341E8"/>
    <w:rsid w:val="009372D5"/>
    <w:rsid w:val="00956402"/>
    <w:rsid w:val="009607B5"/>
    <w:rsid w:val="0096509F"/>
    <w:rsid w:val="0097411A"/>
    <w:rsid w:val="00986CAD"/>
    <w:rsid w:val="00994ADD"/>
    <w:rsid w:val="009D1F08"/>
    <w:rsid w:val="009D2E33"/>
    <w:rsid w:val="009D6216"/>
    <w:rsid w:val="009E726F"/>
    <w:rsid w:val="009F00AB"/>
    <w:rsid w:val="009F0AED"/>
    <w:rsid w:val="009F0BF4"/>
    <w:rsid w:val="009F125E"/>
    <w:rsid w:val="00A10E0D"/>
    <w:rsid w:val="00A12D69"/>
    <w:rsid w:val="00A13C17"/>
    <w:rsid w:val="00A1417B"/>
    <w:rsid w:val="00A14B31"/>
    <w:rsid w:val="00A20AAE"/>
    <w:rsid w:val="00A26AF8"/>
    <w:rsid w:val="00A415EE"/>
    <w:rsid w:val="00A41D20"/>
    <w:rsid w:val="00A61F3B"/>
    <w:rsid w:val="00A63CD0"/>
    <w:rsid w:val="00A6514C"/>
    <w:rsid w:val="00A668A3"/>
    <w:rsid w:val="00A71C2A"/>
    <w:rsid w:val="00A73CBE"/>
    <w:rsid w:val="00A76FC5"/>
    <w:rsid w:val="00A7763C"/>
    <w:rsid w:val="00A817C2"/>
    <w:rsid w:val="00A86434"/>
    <w:rsid w:val="00A8765F"/>
    <w:rsid w:val="00AA6DEE"/>
    <w:rsid w:val="00AB0A17"/>
    <w:rsid w:val="00AB5CE9"/>
    <w:rsid w:val="00AC23B3"/>
    <w:rsid w:val="00AC3996"/>
    <w:rsid w:val="00AE0A04"/>
    <w:rsid w:val="00AF69E1"/>
    <w:rsid w:val="00B04717"/>
    <w:rsid w:val="00B132FF"/>
    <w:rsid w:val="00B15955"/>
    <w:rsid w:val="00B20023"/>
    <w:rsid w:val="00B42420"/>
    <w:rsid w:val="00B430FE"/>
    <w:rsid w:val="00B508FA"/>
    <w:rsid w:val="00B55F03"/>
    <w:rsid w:val="00B63C43"/>
    <w:rsid w:val="00B67242"/>
    <w:rsid w:val="00B710FF"/>
    <w:rsid w:val="00B76248"/>
    <w:rsid w:val="00B87414"/>
    <w:rsid w:val="00B91507"/>
    <w:rsid w:val="00B94BCD"/>
    <w:rsid w:val="00BB67B3"/>
    <w:rsid w:val="00BC4667"/>
    <w:rsid w:val="00BC490F"/>
    <w:rsid w:val="00BE21D2"/>
    <w:rsid w:val="00C02294"/>
    <w:rsid w:val="00C0474E"/>
    <w:rsid w:val="00C1399A"/>
    <w:rsid w:val="00C14BC4"/>
    <w:rsid w:val="00C2051A"/>
    <w:rsid w:val="00C22D68"/>
    <w:rsid w:val="00C34E46"/>
    <w:rsid w:val="00C357D5"/>
    <w:rsid w:val="00C56058"/>
    <w:rsid w:val="00C63B0E"/>
    <w:rsid w:val="00C70048"/>
    <w:rsid w:val="00C869FA"/>
    <w:rsid w:val="00C91841"/>
    <w:rsid w:val="00C9231D"/>
    <w:rsid w:val="00C92555"/>
    <w:rsid w:val="00CA27DC"/>
    <w:rsid w:val="00CB12E2"/>
    <w:rsid w:val="00CB490F"/>
    <w:rsid w:val="00CB6311"/>
    <w:rsid w:val="00CC48C4"/>
    <w:rsid w:val="00CC52CB"/>
    <w:rsid w:val="00CC5D0E"/>
    <w:rsid w:val="00CD2004"/>
    <w:rsid w:val="00CD324E"/>
    <w:rsid w:val="00CD64EF"/>
    <w:rsid w:val="00CE7740"/>
    <w:rsid w:val="00CF173F"/>
    <w:rsid w:val="00CF1C26"/>
    <w:rsid w:val="00D00F6A"/>
    <w:rsid w:val="00D05274"/>
    <w:rsid w:val="00D06F99"/>
    <w:rsid w:val="00D1694E"/>
    <w:rsid w:val="00D22F49"/>
    <w:rsid w:val="00D31129"/>
    <w:rsid w:val="00D353AF"/>
    <w:rsid w:val="00D35C96"/>
    <w:rsid w:val="00D36866"/>
    <w:rsid w:val="00D46D75"/>
    <w:rsid w:val="00D47015"/>
    <w:rsid w:val="00D5109E"/>
    <w:rsid w:val="00D6464E"/>
    <w:rsid w:val="00D65F82"/>
    <w:rsid w:val="00D67476"/>
    <w:rsid w:val="00D72227"/>
    <w:rsid w:val="00DA793F"/>
    <w:rsid w:val="00DC0AC8"/>
    <w:rsid w:val="00DC65D2"/>
    <w:rsid w:val="00DD4FD8"/>
    <w:rsid w:val="00DD73D3"/>
    <w:rsid w:val="00DE30BE"/>
    <w:rsid w:val="00DF18E3"/>
    <w:rsid w:val="00E00C56"/>
    <w:rsid w:val="00E03A2E"/>
    <w:rsid w:val="00E14054"/>
    <w:rsid w:val="00E15C39"/>
    <w:rsid w:val="00E3568E"/>
    <w:rsid w:val="00E37F62"/>
    <w:rsid w:val="00E453A9"/>
    <w:rsid w:val="00E459BC"/>
    <w:rsid w:val="00E46769"/>
    <w:rsid w:val="00E5218F"/>
    <w:rsid w:val="00E62685"/>
    <w:rsid w:val="00E723FE"/>
    <w:rsid w:val="00E7368F"/>
    <w:rsid w:val="00E7490C"/>
    <w:rsid w:val="00E74F95"/>
    <w:rsid w:val="00E8529B"/>
    <w:rsid w:val="00E86006"/>
    <w:rsid w:val="00EA0744"/>
    <w:rsid w:val="00EA4E89"/>
    <w:rsid w:val="00EB336D"/>
    <w:rsid w:val="00EB4169"/>
    <w:rsid w:val="00EB5BC5"/>
    <w:rsid w:val="00EC6384"/>
    <w:rsid w:val="00EC70EC"/>
    <w:rsid w:val="00EC7440"/>
    <w:rsid w:val="00ED263D"/>
    <w:rsid w:val="00ED63F7"/>
    <w:rsid w:val="00EE16E9"/>
    <w:rsid w:val="00EF1FB9"/>
    <w:rsid w:val="00EF2F47"/>
    <w:rsid w:val="00F10A69"/>
    <w:rsid w:val="00F14DA2"/>
    <w:rsid w:val="00F21E42"/>
    <w:rsid w:val="00F34FFF"/>
    <w:rsid w:val="00F46046"/>
    <w:rsid w:val="00F53BA2"/>
    <w:rsid w:val="00F60B08"/>
    <w:rsid w:val="00F708E8"/>
    <w:rsid w:val="00F73E02"/>
    <w:rsid w:val="00F75692"/>
    <w:rsid w:val="00F922B8"/>
    <w:rsid w:val="00FB0063"/>
    <w:rsid w:val="00FB55DA"/>
    <w:rsid w:val="00FC024F"/>
    <w:rsid w:val="00FC0CAD"/>
    <w:rsid w:val="00FC3B54"/>
    <w:rsid w:val="00FD0337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90"/>
    <w:pPr>
      <w:ind w:left="720"/>
      <w:contextualSpacing/>
    </w:pPr>
  </w:style>
  <w:style w:type="table" w:styleId="a4">
    <w:name w:val="Table Grid"/>
    <w:basedOn w:val="a1"/>
    <w:uiPriority w:val="59"/>
    <w:rsid w:val="0016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8DE"/>
  </w:style>
  <w:style w:type="paragraph" w:styleId="a7">
    <w:name w:val="footer"/>
    <w:basedOn w:val="a"/>
    <w:link w:val="a8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DE"/>
  </w:style>
  <w:style w:type="paragraph" w:styleId="a9">
    <w:name w:val="Balloon Text"/>
    <w:basedOn w:val="a"/>
    <w:link w:val="aa"/>
    <w:uiPriority w:val="99"/>
    <w:semiHidden/>
    <w:unhideWhenUsed/>
    <w:rsid w:val="001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0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71B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B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B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B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B04"/>
    <w:rPr>
      <w:b/>
      <w:bCs/>
      <w:sz w:val="20"/>
      <w:szCs w:val="20"/>
    </w:rPr>
  </w:style>
  <w:style w:type="paragraph" w:customStyle="1" w:styleId="ConsPlusNonformat">
    <w:name w:val="ConsPlusNonformat"/>
    <w:rsid w:val="00626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9150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0">
    <w:name w:val="Знак Знак Знак Знак Знак Знак Знак Знак Знак Знак Знак Знак"/>
    <w:basedOn w:val="a"/>
    <w:rsid w:val="00F922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F92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90"/>
    <w:pPr>
      <w:ind w:left="720"/>
      <w:contextualSpacing/>
    </w:pPr>
  </w:style>
  <w:style w:type="table" w:styleId="a4">
    <w:name w:val="Table Grid"/>
    <w:basedOn w:val="a1"/>
    <w:uiPriority w:val="59"/>
    <w:rsid w:val="0016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8DE"/>
  </w:style>
  <w:style w:type="paragraph" w:styleId="a7">
    <w:name w:val="footer"/>
    <w:basedOn w:val="a"/>
    <w:link w:val="a8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DE"/>
  </w:style>
  <w:style w:type="paragraph" w:styleId="a9">
    <w:name w:val="Balloon Text"/>
    <w:basedOn w:val="a"/>
    <w:link w:val="aa"/>
    <w:uiPriority w:val="99"/>
    <w:semiHidden/>
    <w:unhideWhenUsed/>
    <w:rsid w:val="001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0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71B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B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B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B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B04"/>
    <w:rPr>
      <w:b/>
      <w:bCs/>
      <w:sz w:val="20"/>
      <w:szCs w:val="20"/>
    </w:rPr>
  </w:style>
  <w:style w:type="paragraph" w:customStyle="1" w:styleId="ConsPlusNonformat">
    <w:name w:val="ConsPlusNonformat"/>
    <w:rsid w:val="00626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9150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0">
    <w:name w:val="Знак Знак Знак Знак Знак Знак Знак Знак Знак Знак Знак Знак"/>
    <w:basedOn w:val="a"/>
    <w:rsid w:val="00F922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F92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65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9FCF-E65D-4FF5-A618-4706BEBD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knpp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 Сергей Петрович</dc:creator>
  <cp:lastModifiedBy>Посыпайко Игорь Николаевич</cp:lastModifiedBy>
  <cp:revision>6</cp:revision>
  <cp:lastPrinted>2017-01-24T07:42:00Z</cp:lastPrinted>
  <dcterms:created xsi:type="dcterms:W3CDTF">2023-06-16T08:54:00Z</dcterms:created>
  <dcterms:modified xsi:type="dcterms:W3CDTF">2023-10-24T06:37:00Z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